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23A" w:rsidRDefault="00C6523A" w:rsidP="00C6523A">
      <w:pPr>
        <w:pStyle w:val="Titre"/>
        <w:rPr>
          <w:sz w:val="36"/>
          <w:szCs w:val="36"/>
        </w:rPr>
      </w:pPr>
    </w:p>
    <w:p w:rsidR="00C6523A" w:rsidRPr="00FF3C20" w:rsidRDefault="00C6523A" w:rsidP="00C6523A">
      <w:pPr>
        <w:pStyle w:val="Titre"/>
        <w:rPr>
          <w:sz w:val="36"/>
          <w:szCs w:val="36"/>
        </w:rPr>
      </w:pPr>
      <w:r w:rsidRPr="00FF3C20">
        <w:rPr>
          <w:sz w:val="36"/>
          <w:szCs w:val="36"/>
        </w:rPr>
        <w:t>Rappel des obligations en matière de confidentialité</w:t>
      </w:r>
    </w:p>
    <w:p w:rsidR="00C6523A" w:rsidRDefault="00C6523A" w:rsidP="00C6523A"/>
    <w:p w:rsidR="00C6523A" w:rsidRDefault="00C6523A" w:rsidP="00C6523A">
      <w:r>
        <w:t>au délégataire suivant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6523A" w:rsidTr="002014DF">
        <w:tc>
          <w:tcPr>
            <w:tcW w:w="9072" w:type="dxa"/>
          </w:tcPr>
          <w:p w:rsidR="00C6523A" w:rsidRDefault="00C6523A" w:rsidP="002014DF"/>
          <w:p w:rsidR="00C6523A" w:rsidRDefault="00C6523A" w:rsidP="002014DF"/>
          <w:p w:rsidR="00C6523A" w:rsidRDefault="00C6523A" w:rsidP="002014DF"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</w:tr>
    </w:tbl>
    <w:p w:rsidR="00C6523A" w:rsidRPr="009E2CAA" w:rsidRDefault="00C6523A" w:rsidP="00C6523A">
      <w:pPr>
        <w:rPr>
          <w:sz w:val="16"/>
          <w:szCs w:val="16"/>
        </w:rPr>
      </w:pPr>
      <w:r w:rsidRPr="009E2CAA">
        <w:rPr>
          <w:sz w:val="16"/>
          <w:szCs w:val="16"/>
        </w:rPr>
        <w:t>Nom, prénom / Raison sociale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6523A" w:rsidTr="002014DF">
        <w:tc>
          <w:tcPr>
            <w:tcW w:w="9072" w:type="dxa"/>
            <w:tcBorders>
              <w:bottom w:val="dotted" w:sz="4" w:space="0" w:color="auto"/>
            </w:tcBorders>
          </w:tcPr>
          <w:p w:rsidR="00C6523A" w:rsidRDefault="00C6523A" w:rsidP="002014DF"/>
          <w:p w:rsidR="00C6523A" w:rsidRDefault="00C6523A" w:rsidP="002014DF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:rsidR="00C6523A" w:rsidRPr="009E2CAA" w:rsidRDefault="00C6523A" w:rsidP="00C6523A">
      <w:pPr>
        <w:rPr>
          <w:sz w:val="16"/>
          <w:szCs w:val="16"/>
        </w:rPr>
      </w:pPr>
      <w:r w:rsidRPr="009E2CAA">
        <w:rPr>
          <w:sz w:val="16"/>
          <w:szCs w:val="16"/>
        </w:rPr>
        <w:t>Domicile / Siège</w:t>
      </w:r>
    </w:p>
    <w:p w:rsidR="00C6523A" w:rsidRDefault="00C6523A" w:rsidP="00C6523A">
      <w:r>
        <w:t>par l’avocat(e) et /ou l’étude d’avocat(e)s suivant(e)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6523A" w:rsidTr="002014DF">
        <w:tc>
          <w:tcPr>
            <w:tcW w:w="9072" w:type="dxa"/>
          </w:tcPr>
          <w:p w:rsidR="00C6523A" w:rsidRDefault="00C6523A" w:rsidP="002014DF"/>
          <w:p w:rsidR="00C6523A" w:rsidRDefault="00C6523A" w:rsidP="002014DF"/>
          <w:p w:rsidR="00C6523A" w:rsidRDefault="00C6523A" w:rsidP="002014DF"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:rsidR="00C6523A" w:rsidRPr="009E2CAA" w:rsidRDefault="00C6523A" w:rsidP="00C6523A">
      <w:pPr>
        <w:rPr>
          <w:sz w:val="16"/>
          <w:szCs w:val="16"/>
        </w:rPr>
      </w:pPr>
      <w:r w:rsidRPr="009E2CAA">
        <w:rPr>
          <w:sz w:val="16"/>
          <w:szCs w:val="16"/>
        </w:rPr>
        <w:t>Nom, prénom / Raison sociale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6523A" w:rsidTr="002014DF">
        <w:tc>
          <w:tcPr>
            <w:tcW w:w="9072" w:type="dxa"/>
            <w:tcBorders>
              <w:bottom w:val="dotted" w:sz="4" w:space="0" w:color="auto"/>
            </w:tcBorders>
          </w:tcPr>
          <w:p w:rsidR="00C6523A" w:rsidRDefault="00C6523A" w:rsidP="002014DF"/>
          <w:p w:rsidR="00C6523A" w:rsidRDefault="00C6523A" w:rsidP="002014DF">
            <w: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4" w:name="Texte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:rsidR="00C6523A" w:rsidRPr="009E2CAA" w:rsidRDefault="00C6523A" w:rsidP="00C6523A">
      <w:pPr>
        <w:rPr>
          <w:sz w:val="16"/>
          <w:szCs w:val="16"/>
        </w:rPr>
      </w:pPr>
      <w:r w:rsidRPr="009E2CAA">
        <w:rPr>
          <w:sz w:val="16"/>
          <w:szCs w:val="16"/>
        </w:rPr>
        <w:t>Domicile / Siège</w:t>
      </w:r>
    </w:p>
    <w:p w:rsidR="00C6523A" w:rsidRDefault="00C6523A" w:rsidP="00C6523A">
      <w:r>
        <w:t xml:space="preserve">des obligations en matière de confidentialité auquel il est tenu en qualité d’auxiliaire d’un(e) avocat(e) et/ou de l’étude d’avocat(e)s dans le cadre des activités décrites ci-après et confiées par l’avocat(e) et /ou l’étude d’avocat(e)s, ainsi que toutes autres activités cas échéant ultérieurement confiées entre les parties :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6523A" w:rsidTr="002014DF">
        <w:tc>
          <w:tcPr>
            <w:tcW w:w="9072" w:type="dxa"/>
            <w:tcBorders>
              <w:bottom w:val="dotted" w:sz="4" w:space="0" w:color="auto"/>
            </w:tcBorders>
          </w:tcPr>
          <w:p w:rsidR="00C6523A" w:rsidRDefault="00C6523A" w:rsidP="002014DF"/>
          <w:p w:rsidR="00C6523A" w:rsidRDefault="00C6523A" w:rsidP="002014DF">
            <w: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C6523A" w:rsidTr="002014DF">
        <w:tc>
          <w:tcPr>
            <w:tcW w:w="9072" w:type="dxa"/>
            <w:tcBorders>
              <w:bottom w:val="dotted" w:sz="4" w:space="0" w:color="auto"/>
            </w:tcBorders>
          </w:tcPr>
          <w:p w:rsidR="00C6523A" w:rsidRDefault="00C6523A" w:rsidP="002014DF"/>
          <w:p w:rsidR="00C6523A" w:rsidRDefault="00C6523A" w:rsidP="002014DF"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6" w:name="Texte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:rsidR="00C6523A" w:rsidRDefault="00C6523A" w:rsidP="00C6523A">
      <w:r w:rsidRPr="00FF3C20">
        <w:rPr>
          <w:sz w:val="16"/>
          <w:szCs w:val="16"/>
        </w:rPr>
        <w:t xml:space="preserve">Description des </w:t>
      </w:r>
      <w:r>
        <w:rPr>
          <w:sz w:val="16"/>
          <w:szCs w:val="16"/>
        </w:rPr>
        <w:t>activités</w:t>
      </w:r>
      <w:r w:rsidRPr="00FF3C20">
        <w:rPr>
          <w:sz w:val="16"/>
          <w:szCs w:val="16"/>
        </w:rPr>
        <w:t xml:space="preserve"> confiées</w:t>
      </w:r>
    </w:p>
    <w:p w:rsidR="00C6523A" w:rsidRPr="00D14641" w:rsidRDefault="00C6523A" w:rsidP="00C6523A"/>
    <w:p w:rsidR="00C6523A" w:rsidRPr="009E2CAA" w:rsidRDefault="00C6523A" w:rsidP="00C6523A">
      <w:pPr>
        <w:rPr>
          <w:b/>
        </w:rPr>
      </w:pPr>
      <w:r w:rsidRPr="009E2CAA">
        <w:rPr>
          <w:b/>
        </w:rPr>
        <w:t>Art. 321 du Code pénal</w:t>
      </w:r>
      <w:r>
        <w:rPr>
          <w:b/>
        </w:rPr>
        <w:t xml:space="preserve"> suisse</w:t>
      </w:r>
      <w:r w:rsidRPr="009E2CAA">
        <w:rPr>
          <w:b/>
        </w:rPr>
        <w:t> : Violation du secret professionnel</w:t>
      </w:r>
    </w:p>
    <w:p w:rsidR="00C6523A" w:rsidRPr="00D14641" w:rsidRDefault="00C6523A" w:rsidP="00C6523A">
      <w:pPr>
        <w:ind w:left="284" w:hanging="284"/>
      </w:pPr>
      <w:r w:rsidRPr="00D14641">
        <w:t>1 </w:t>
      </w:r>
      <w:r w:rsidRPr="00D14641">
        <w:tab/>
        <w:t>Les ecclésiastiques, avocats, défenseurs en justice, notaires, contrôleurs astreints au secret professionnel en vertu du code des obligations, médecins, dentistes, pharmaciens, sages-femmes, ainsi que leurs auxiliaires, qui auront révélé un secret à eux confié en vertu de leur profession ou dont ils avaient eu connaissance dans l’exercice de celle-ci, seront, sur plainte, punis d’une peine privative de liberté de trois ans au plus ou d’une peine pécuniaire.</w:t>
      </w:r>
    </w:p>
    <w:p w:rsidR="00C6523A" w:rsidRPr="00D14641" w:rsidRDefault="00C6523A" w:rsidP="00C6523A">
      <w:pPr>
        <w:ind w:left="284"/>
      </w:pPr>
      <w:r w:rsidRPr="00D14641">
        <w:t>Seront punis de la même peine les étudiants qui auront révélé un secret dont ils avaient eu connaissance à l’occasion de leurs études.</w:t>
      </w:r>
    </w:p>
    <w:p w:rsidR="00C6523A" w:rsidRPr="00D14641" w:rsidRDefault="00C6523A" w:rsidP="00C6523A">
      <w:pPr>
        <w:ind w:left="284"/>
      </w:pPr>
      <w:r w:rsidRPr="00D14641">
        <w:t>La révélation demeure punissable alors même que le détenteur du secret n’exerce plus sa profession ou qu’il a achevé ses études.</w:t>
      </w:r>
    </w:p>
    <w:p w:rsidR="00C6523A" w:rsidRPr="00D14641" w:rsidRDefault="00C6523A" w:rsidP="00C6523A">
      <w:pPr>
        <w:ind w:left="284" w:hanging="284"/>
      </w:pPr>
      <w:r w:rsidRPr="00D14641">
        <w:lastRenderedPageBreak/>
        <w:t>2 </w:t>
      </w:r>
      <w:r w:rsidRPr="00D14641">
        <w:tab/>
        <w:t>La révélation ne sera pas punissable si elle a été faite avec le consentement de l’intéressé ou si, sur la proposition du détenteur du secret, l’autorité supérieure ou l’autorité de surveillance l’a autorisée par écrit.</w:t>
      </w:r>
    </w:p>
    <w:p w:rsidR="00C6523A" w:rsidRPr="00D14641" w:rsidRDefault="00C6523A" w:rsidP="00C6523A">
      <w:pPr>
        <w:ind w:left="284" w:hanging="284"/>
      </w:pPr>
      <w:r w:rsidRPr="00D14641">
        <w:t>3 </w:t>
      </w:r>
      <w:r w:rsidRPr="00D14641">
        <w:tab/>
        <w:t>Demeurent réservées les dispositions de la législation fédérale et cantonale statuant une obligation de renseigner une autorité ou de témoigner en justice.</w:t>
      </w:r>
    </w:p>
    <w:p w:rsidR="00C6523A" w:rsidRPr="00D14641" w:rsidRDefault="00C6523A" w:rsidP="00C6523A"/>
    <w:p w:rsidR="00C6523A" w:rsidRPr="009E2CAA" w:rsidRDefault="00C6523A" w:rsidP="00C6523A">
      <w:pPr>
        <w:rPr>
          <w:b/>
        </w:rPr>
      </w:pPr>
      <w:r w:rsidRPr="009E2CAA">
        <w:rPr>
          <w:b/>
        </w:rPr>
        <w:t xml:space="preserve">Art. 162 du Code pénal </w:t>
      </w:r>
      <w:r>
        <w:rPr>
          <w:b/>
        </w:rPr>
        <w:t xml:space="preserve">suisse : </w:t>
      </w:r>
      <w:r w:rsidRPr="009E2CAA">
        <w:rPr>
          <w:b/>
        </w:rPr>
        <w:t>Violation du secret de fabrication ou du secret commercial</w:t>
      </w:r>
    </w:p>
    <w:p w:rsidR="00C6523A" w:rsidRDefault="00C6523A" w:rsidP="00C6523A">
      <w:r>
        <w:t>Celui qui aura révélé un secret de fabrication ou un secret commercial qu'il était tenu de garder en vertu d'une obligation légale ou contractuelle,</w:t>
      </w:r>
    </w:p>
    <w:p w:rsidR="00C6523A" w:rsidRDefault="00C6523A" w:rsidP="00C6523A">
      <w:r>
        <w:t>celui qui aura utilisé cette révélation à son profit ou à celui d'un tiers,</w:t>
      </w:r>
    </w:p>
    <w:p w:rsidR="00C6523A" w:rsidRPr="00A71AB9" w:rsidRDefault="00C6523A" w:rsidP="00C6523A">
      <w:pPr>
        <w:rPr>
          <w:lang w:val="fr-FR"/>
        </w:rPr>
      </w:pPr>
      <w:r>
        <w:t>sera, sur plainte, puni d'une peine privative de liberté de trois ans au plus ou d'une peine pécuniaire.</w:t>
      </w:r>
    </w:p>
    <w:p w:rsidR="00C6523A" w:rsidRDefault="00C6523A" w:rsidP="00C6523A">
      <w:pPr>
        <w:rPr>
          <w:lang w:val="fr-FR"/>
        </w:rPr>
      </w:pPr>
    </w:p>
    <w:p w:rsidR="00C6523A" w:rsidRPr="009E2CAA" w:rsidRDefault="00C6523A" w:rsidP="00C6523A">
      <w:pPr>
        <w:rPr>
          <w:b/>
        </w:rPr>
      </w:pPr>
      <w:r w:rsidRPr="009E2CAA">
        <w:rPr>
          <w:b/>
        </w:rPr>
        <w:t xml:space="preserve">Art. 35 de la Loi </w:t>
      </w:r>
      <w:r>
        <w:rPr>
          <w:b/>
        </w:rPr>
        <w:t xml:space="preserve">suisse </w:t>
      </w:r>
      <w:r w:rsidRPr="009E2CAA">
        <w:rPr>
          <w:b/>
        </w:rPr>
        <w:t>sur la protection des données : Violation du devoir de discrétion</w:t>
      </w:r>
    </w:p>
    <w:p w:rsidR="00C6523A" w:rsidRPr="00D14641" w:rsidRDefault="00C6523A" w:rsidP="00C6523A">
      <w:pPr>
        <w:ind w:left="284" w:hanging="284"/>
      </w:pPr>
      <w:r w:rsidRPr="00D14641">
        <w:t>1 </w:t>
      </w:r>
      <w:r w:rsidRPr="00D14641">
        <w:tab/>
        <w:t>La personne qui, intentionnellement, aura révélé d’une manière illicite des données personnelles secrètes et sensibles ou des profils de la personnalité portés à sa connaissance dans l’exercice d’une profession qui requiert la connaissance de telles données, sera, sur plainte, punie de l’amende.</w:t>
      </w:r>
    </w:p>
    <w:p w:rsidR="00C6523A" w:rsidRPr="00D14641" w:rsidRDefault="00C6523A" w:rsidP="00C6523A">
      <w:pPr>
        <w:ind w:left="284" w:hanging="284"/>
      </w:pPr>
      <w:r w:rsidRPr="00D14641">
        <w:t>2 </w:t>
      </w:r>
      <w:r w:rsidRPr="00D14641">
        <w:tab/>
        <w:t>Est passible de la même peine la personne qui, intentionnellement, aura révélé d’une manière illicite des données personnelles secrètes et sensibles ou des profils de la personnalité portés à sa connaissance dans le cadre des activités qu’elle exerce pour le compte de la personne soumise à l’obligation de garder le secret ou lors de sa formation chez elle.</w:t>
      </w:r>
    </w:p>
    <w:p w:rsidR="00C6523A" w:rsidRPr="00D14641" w:rsidRDefault="00C6523A" w:rsidP="00C6523A">
      <w:pPr>
        <w:ind w:left="284" w:hanging="284"/>
      </w:pPr>
      <w:r w:rsidRPr="00D14641">
        <w:t>3 </w:t>
      </w:r>
      <w:r w:rsidRPr="00D14641">
        <w:tab/>
        <w:t>La révélation illicite de données personnelles secrètes et sensibles ou de profils de la personnalité demeure punissable alors même que les rapports de travail ou de formation ont pris fin.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6523A" w:rsidTr="002014DF">
        <w:tc>
          <w:tcPr>
            <w:tcW w:w="9072" w:type="dxa"/>
          </w:tcPr>
          <w:p w:rsidR="00C6523A" w:rsidRDefault="00C6523A" w:rsidP="002014DF"/>
          <w:p w:rsidR="00C6523A" w:rsidRDefault="00C6523A" w:rsidP="002014DF"/>
          <w:p w:rsidR="00C6523A" w:rsidRDefault="00C6523A" w:rsidP="002014DF">
            <w: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7" w:name="Texte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</w:tbl>
    <w:p w:rsidR="00C6523A" w:rsidRPr="009E2CAA" w:rsidRDefault="00571E4D" w:rsidP="00C6523A">
      <w:pPr>
        <w:rPr>
          <w:sz w:val="16"/>
          <w:szCs w:val="16"/>
        </w:rPr>
      </w:pPr>
      <w:r>
        <w:rPr>
          <w:sz w:val="16"/>
          <w:szCs w:val="16"/>
        </w:rPr>
        <w:t>Lieu date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6523A" w:rsidTr="002014DF">
        <w:tc>
          <w:tcPr>
            <w:tcW w:w="9072" w:type="dxa"/>
            <w:tcBorders>
              <w:bottom w:val="dotted" w:sz="4" w:space="0" w:color="auto"/>
            </w:tcBorders>
          </w:tcPr>
          <w:p w:rsidR="00C6523A" w:rsidRDefault="00C6523A" w:rsidP="002014DF"/>
          <w:p w:rsidR="00C6523A" w:rsidRDefault="00C6523A" w:rsidP="002014DF"/>
        </w:tc>
      </w:tr>
    </w:tbl>
    <w:p w:rsidR="00C6523A" w:rsidRDefault="00C6523A" w:rsidP="00C6523A">
      <w:r w:rsidRPr="00FF3C20">
        <w:rPr>
          <w:sz w:val="16"/>
          <w:szCs w:val="16"/>
        </w:rPr>
        <w:t>Si</w:t>
      </w:r>
      <w:r w:rsidR="00571E4D">
        <w:rPr>
          <w:sz w:val="16"/>
          <w:szCs w:val="16"/>
        </w:rPr>
        <w:t>gnature(s) pour le délégataire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6523A" w:rsidTr="002014DF">
        <w:tc>
          <w:tcPr>
            <w:tcW w:w="9072" w:type="dxa"/>
          </w:tcPr>
          <w:p w:rsidR="00C6523A" w:rsidRDefault="00C6523A" w:rsidP="002014DF"/>
          <w:p w:rsidR="00C6523A" w:rsidRDefault="00C6523A" w:rsidP="002014DF"/>
          <w:p w:rsidR="00C6523A" w:rsidRDefault="00C6523A" w:rsidP="002014DF">
            <w: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8" w:name="Texte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:rsidR="00C6523A" w:rsidRPr="009E2CAA" w:rsidRDefault="00571E4D" w:rsidP="00C6523A">
      <w:pPr>
        <w:rPr>
          <w:sz w:val="16"/>
          <w:szCs w:val="16"/>
        </w:rPr>
      </w:pPr>
      <w:r>
        <w:rPr>
          <w:sz w:val="16"/>
          <w:szCs w:val="16"/>
        </w:rPr>
        <w:t>Lieu date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6523A" w:rsidTr="002014DF">
        <w:tc>
          <w:tcPr>
            <w:tcW w:w="9072" w:type="dxa"/>
            <w:tcBorders>
              <w:bottom w:val="dotted" w:sz="4" w:space="0" w:color="auto"/>
            </w:tcBorders>
          </w:tcPr>
          <w:p w:rsidR="00C6523A" w:rsidRDefault="00C6523A" w:rsidP="002014DF"/>
          <w:p w:rsidR="00C6523A" w:rsidRDefault="00C6523A" w:rsidP="002014DF"/>
        </w:tc>
      </w:tr>
    </w:tbl>
    <w:p w:rsidR="00C6523A" w:rsidRDefault="00C6523A" w:rsidP="00C6523A">
      <w:r w:rsidRPr="00F67B02">
        <w:rPr>
          <w:sz w:val="16"/>
          <w:szCs w:val="16"/>
        </w:rPr>
        <w:t>Signature(s) pour l’</w:t>
      </w:r>
      <w:r w:rsidR="00571E4D">
        <w:rPr>
          <w:sz w:val="16"/>
          <w:szCs w:val="16"/>
        </w:rPr>
        <w:t>avocat/e / étude d’avocats/tes</w:t>
      </w:r>
    </w:p>
    <w:p w:rsidR="00272972" w:rsidRDefault="00764214"/>
    <w:sectPr w:rsidR="00272972" w:rsidSect="000576DE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23A" w:rsidRDefault="00C6523A" w:rsidP="00C6523A">
      <w:pPr>
        <w:spacing w:after="0" w:line="240" w:lineRule="auto"/>
      </w:pPr>
      <w:r>
        <w:separator/>
      </w:r>
    </w:p>
  </w:endnote>
  <w:endnote w:type="continuationSeparator" w:id="0">
    <w:p w:rsidR="00C6523A" w:rsidRDefault="00C6523A" w:rsidP="00C65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tserrat Light">
    <w:altName w:val="Montserrat Light"/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ontserrat">
    <w:altName w:val="Montserrat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1270170"/>
      <w:docPartObj>
        <w:docPartGallery w:val="Page Numbers (Bottom of Page)"/>
        <w:docPartUnique/>
      </w:docPartObj>
    </w:sdtPr>
    <w:sdtEndPr/>
    <w:sdtContent>
      <w:p w:rsidR="00BE30F9" w:rsidRDefault="0076421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64214">
          <w:rPr>
            <w:noProof/>
            <w:lang w:val="fr-FR"/>
          </w:rPr>
          <w:t>2</w:t>
        </w:r>
        <w:r>
          <w:fldChar w:fldCharType="end"/>
        </w:r>
      </w:p>
    </w:sdtContent>
  </w:sdt>
  <w:p w:rsidR="00BE30F9" w:rsidRDefault="0076421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6601682"/>
      <w:docPartObj>
        <w:docPartGallery w:val="Page Numbers (Bottom of Page)"/>
        <w:docPartUnique/>
      </w:docPartObj>
    </w:sdtPr>
    <w:sdtEndPr/>
    <w:sdtContent>
      <w:p w:rsidR="00AA5B7A" w:rsidRDefault="0076421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64214">
          <w:rPr>
            <w:noProof/>
            <w:lang w:val="fr-FR"/>
          </w:rPr>
          <w:t>1</w:t>
        </w:r>
        <w:r>
          <w:fldChar w:fldCharType="end"/>
        </w:r>
      </w:p>
    </w:sdtContent>
  </w:sdt>
  <w:p w:rsidR="00AA5B7A" w:rsidRDefault="007642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23A" w:rsidRDefault="00C6523A" w:rsidP="00C6523A">
      <w:pPr>
        <w:spacing w:after="0" w:line="240" w:lineRule="auto"/>
      </w:pPr>
      <w:r>
        <w:separator/>
      </w:r>
    </w:p>
  </w:footnote>
  <w:footnote w:type="continuationSeparator" w:id="0">
    <w:p w:rsidR="00C6523A" w:rsidRDefault="00C6523A" w:rsidP="00C65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6DE" w:rsidRDefault="00C6523A" w:rsidP="006D7BE3">
    <w:pPr>
      <w:pStyle w:val="En-tte"/>
      <w:jc w:val="center"/>
    </w:pPr>
    <w:r>
      <w:rPr>
        <w:noProof/>
        <w:lang w:eastAsia="fr-CH"/>
      </w:rPr>
      <w:drawing>
        <wp:anchor distT="0" distB="0" distL="114300" distR="114300" simplePos="0" relativeHeight="251659264" behindDoc="0" locked="0" layoutInCell="1" allowOverlap="1" wp14:anchorId="29DAA6E2" wp14:editId="4440FA8D">
          <wp:simplePos x="0" y="0"/>
          <wp:positionH relativeFrom="margin">
            <wp:align>right</wp:align>
          </wp:positionH>
          <wp:positionV relativeFrom="margin">
            <wp:posOffset>-403815</wp:posOffset>
          </wp:positionV>
          <wp:extent cx="914400" cy="428625"/>
          <wp:effectExtent l="0" t="0" r="0" b="9525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102C5"/>
    <w:multiLevelType w:val="multilevel"/>
    <w:tmpl w:val="0FF6B1CE"/>
    <w:lvl w:ilvl="0">
      <w:start w:val="1"/>
      <w:numFmt w:val="decimal"/>
      <w:pStyle w:val="ProcnConclusion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8C24CA4"/>
    <w:multiLevelType w:val="hybridMultilevel"/>
    <w:tmpl w:val="207217C6"/>
    <w:lvl w:ilvl="0" w:tplc="6E60EE0C">
      <w:start w:val="1"/>
      <w:numFmt w:val="upperRoman"/>
      <w:pStyle w:val="Procntitres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revisionView w:inkAnnotations="0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23A"/>
    <w:rsid w:val="002A0F44"/>
    <w:rsid w:val="002E0E3F"/>
    <w:rsid w:val="00390F65"/>
    <w:rsid w:val="00480CDB"/>
    <w:rsid w:val="005479B3"/>
    <w:rsid w:val="00571E4D"/>
    <w:rsid w:val="006221F2"/>
    <w:rsid w:val="00764214"/>
    <w:rsid w:val="00793E1A"/>
    <w:rsid w:val="008D23F5"/>
    <w:rsid w:val="00A55C34"/>
    <w:rsid w:val="00AF790D"/>
    <w:rsid w:val="00B0051D"/>
    <w:rsid w:val="00B63685"/>
    <w:rsid w:val="00BB4B44"/>
    <w:rsid w:val="00BE0F4B"/>
    <w:rsid w:val="00C6523A"/>
    <w:rsid w:val="00C97DA6"/>
    <w:rsid w:val="00D1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C5CDE"/>
  <w15:chartTrackingRefBased/>
  <w15:docId w15:val="{13767597-11FD-4670-8CB1-266E6A971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523A"/>
    <w:pPr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tradresse">
    <w:name w:val="Ltr adresse"/>
    <w:basedOn w:val="Normal"/>
    <w:link w:val="LtradresseCar"/>
    <w:qFormat/>
    <w:rsid w:val="00AF790D"/>
    <w:pPr>
      <w:suppressAutoHyphens/>
      <w:spacing w:after="0" w:line="240" w:lineRule="auto"/>
    </w:pPr>
    <w:rPr>
      <w:rFonts w:ascii="Montserrat Light" w:hAnsi="Montserrat Light"/>
      <w:color w:val="58595B"/>
      <w:sz w:val="19"/>
      <w:szCs w:val="18"/>
    </w:rPr>
  </w:style>
  <w:style w:type="character" w:customStyle="1" w:styleId="LtradresseCar">
    <w:name w:val="Ltr adresse Car"/>
    <w:basedOn w:val="Policepardfaut"/>
    <w:link w:val="Ltradresse"/>
    <w:rsid w:val="00AF790D"/>
    <w:rPr>
      <w:rFonts w:ascii="Montserrat Light" w:hAnsi="Montserrat Light"/>
      <w:color w:val="58595B"/>
      <w:sz w:val="19"/>
      <w:szCs w:val="18"/>
    </w:rPr>
  </w:style>
  <w:style w:type="paragraph" w:customStyle="1" w:styleId="Ltrconcerne">
    <w:name w:val="Ltr concerne"/>
    <w:basedOn w:val="Normal"/>
    <w:link w:val="LtrconcerneCar"/>
    <w:qFormat/>
    <w:rsid w:val="00BE0F4B"/>
    <w:pPr>
      <w:suppressAutoHyphens/>
      <w:spacing w:after="500" w:line="288" w:lineRule="auto"/>
    </w:pPr>
    <w:rPr>
      <w:rFonts w:ascii="Montserrat Light" w:hAnsi="Montserrat Light" w:cs="Montserrat"/>
      <w:b/>
      <w:color w:val="4E4F50"/>
      <w:sz w:val="18"/>
      <w:szCs w:val="18"/>
    </w:rPr>
  </w:style>
  <w:style w:type="character" w:customStyle="1" w:styleId="LtrconcerneCar">
    <w:name w:val="Ltr concerne Car"/>
    <w:basedOn w:val="Policepardfaut"/>
    <w:link w:val="Ltrconcerne"/>
    <w:rsid w:val="00BE0F4B"/>
    <w:rPr>
      <w:rFonts w:ascii="Montserrat Light" w:hAnsi="Montserrat Light" w:cs="Montserrat"/>
      <w:b/>
      <w:color w:val="4E4F50"/>
      <w:sz w:val="18"/>
      <w:szCs w:val="18"/>
    </w:rPr>
  </w:style>
  <w:style w:type="paragraph" w:customStyle="1" w:styleId="Ltrcorps">
    <w:name w:val="Ltr corps"/>
    <w:basedOn w:val="Normal"/>
    <w:link w:val="LtrcorpsCar"/>
    <w:qFormat/>
    <w:rsid w:val="00390F65"/>
    <w:pPr>
      <w:suppressAutoHyphens/>
      <w:spacing w:after="240" w:line="288" w:lineRule="auto"/>
    </w:pPr>
    <w:rPr>
      <w:rFonts w:ascii="Montserrat Light" w:hAnsi="Montserrat Light" w:cs="Montserrat"/>
      <w:color w:val="4E4F50"/>
      <w:sz w:val="20"/>
      <w:szCs w:val="18"/>
    </w:rPr>
  </w:style>
  <w:style w:type="character" w:customStyle="1" w:styleId="LtrcorpsCar">
    <w:name w:val="Ltr corps Car"/>
    <w:basedOn w:val="Policepardfaut"/>
    <w:link w:val="Ltrcorps"/>
    <w:rsid w:val="00390F65"/>
    <w:rPr>
      <w:rFonts w:ascii="Montserrat Light" w:hAnsi="Montserrat Light" w:cs="Montserrat"/>
      <w:color w:val="4E4F50"/>
      <w:sz w:val="20"/>
      <w:szCs w:val="18"/>
    </w:rPr>
  </w:style>
  <w:style w:type="paragraph" w:customStyle="1" w:styleId="ProcnConclusions">
    <w:name w:val="Proc.n°Conclusions"/>
    <w:basedOn w:val="Ltrcorps"/>
    <w:link w:val="ProcnConclusionsCar"/>
    <w:qFormat/>
    <w:rsid w:val="00BE0F4B"/>
    <w:pPr>
      <w:numPr>
        <w:numId w:val="1"/>
      </w:numPr>
      <w:spacing w:after="200" w:line="264" w:lineRule="auto"/>
    </w:pPr>
  </w:style>
  <w:style w:type="character" w:customStyle="1" w:styleId="ProcnConclusionsCar">
    <w:name w:val="Proc.n°Conclusions Car"/>
    <w:basedOn w:val="LtrcorpsCar"/>
    <w:link w:val="ProcnConclusions"/>
    <w:rsid w:val="00BE0F4B"/>
    <w:rPr>
      <w:rFonts w:ascii="Montserrat Light" w:hAnsi="Montserrat Light" w:cs="Montserrat"/>
      <w:color w:val="4E4F50"/>
      <w:sz w:val="18"/>
      <w:szCs w:val="18"/>
    </w:rPr>
  </w:style>
  <w:style w:type="paragraph" w:customStyle="1" w:styleId="Procntitres">
    <w:name w:val="Proc.n°titres"/>
    <w:basedOn w:val="Ltrcorps"/>
    <w:link w:val="ProcntitresCar"/>
    <w:uiPriority w:val="2"/>
    <w:qFormat/>
    <w:rsid w:val="00BE0F4B"/>
    <w:pPr>
      <w:numPr>
        <w:numId w:val="2"/>
      </w:numPr>
      <w:spacing w:after="200" w:line="264" w:lineRule="auto"/>
    </w:pPr>
    <w:rPr>
      <w:b/>
    </w:rPr>
  </w:style>
  <w:style w:type="character" w:customStyle="1" w:styleId="ProcntitresCar">
    <w:name w:val="Proc.n°titres Car"/>
    <w:basedOn w:val="LtrcorpsCar"/>
    <w:link w:val="Procntitres"/>
    <w:uiPriority w:val="2"/>
    <w:rsid w:val="00BE0F4B"/>
    <w:rPr>
      <w:rFonts w:ascii="Montserrat Light" w:hAnsi="Montserrat Light" w:cs="Montserrat"/>
      <w:b/>
      <w:color w:val="4E4F50"/>
      <w:sz w:val="18"/>
      <w:szCs w:val="18"/>
    </w:rPr>
  </w:style>
  <w:style w:type="paragraph" w:customStyle="1" w:styleId="ProcConcerne">
    <w:name w:val="ProcConcerne"/>
    <w:basedOn w:val="Ltrcorps"/>
    <w:link w:val="ProcConcerneCar"/>
    <w:qFormat/>
    <w:rsid w:val="00BE0F4B"/>
    <w:pPr>
      <w:spacing w:before="400" w:after="400"/>
      <w:jc w:val="center"/>
    </w:pPr>
    <w:rPr>
      <w:i/>
    </w:rPr>
  </w:style>
  <w:style w:type="character" w:customStyle="1" w:styleId="ProcConcerneCar">
    <w:name w:val="ProcConcerne Car"/>
    <w:basedOn w:val="Policepardfaut"/>
    <w:link w:val="ProcConcerne"/>
    <w:rsid w:val="00BE0F4B"/>
    <w:rPr>
      <w:rFonts w:ascii="Montserrat Light" w:hAnsi="Montserrat Light" w:cs="Montserrat"/>
      <w:i/>
      <w:color w:val="4E4F50"/>
      <w:sz w:val="18"/>
      <w:szCs w:val="18"/>
    </w:rPr>
  </w:style>
  <w:style w:type="paragraph" w:customStyle="1" w:styleId="ProcPreuve">
    <w:name w:val="ProcPreuve"/>
    <w:basedOn w:val="Ltrcorps"/>
    <w:link w:val="ProcPreuveCar"/>
    <w:qFormat/>
    <w:rsid w:val="00BE0F4B"/>
    <w:pPr>
      <w:spacing w:after="200" w:line="264" w:lineRule="auto"/>
      <w:ind w:left="567"/>
    </w:pPr>
    <w:rPr>
      <w:u w:val="single"/>
    </w:rPr>
  </w:style>
  <w:style w:type="character" w:customStyle="1" w:styleId="ProcPreuveCar">
    <w:name w:val="ProcPreuve Car"/>
    <w:basedOn w:val="LtrcorpsCar"/>
    <w:link w:val="ProcPreuve"/>
    <w:rsid w:val="00BE0F4B"/>
    <w:rPr>
      <w:rFonts w:ascii="Montserrat Light" w:hAnsi="Montserrat Light" w:cs="Montserrat"/>
      <w:color w:val="4E4F50"/>
      <w:sz w:val="18"/>
      <w:szCs w:val="18"/>
      <w:u w:val="single"/>
    </w:rPr>
  </w:style>
  <w:style w:type="paragraph" w:customStyle="1" w:styleId="ProcTitre">
    <w:name w:val="ProcTitre"/>
    <w:basedOn w:val="Ltrconcerne"/>
    <w:link w:val="ProcTitreCar"/>
    <w:qFormat/>
    <w:rsid w:val="00BE0F4B"/>
    <w:pPr>
      <w:pBdr>
        <w:top w:val="single" w:sz="18" w:space="12" w:color="808080" w:themeColor="background1" w:themeShade="80"/>
        <w:bottom w:val="single" w:sz="18" w:space="12" w:color="808080" w:themeColor="background1" w:themeShade="80"/>
      </w:pBdr>
      <w:jc w:val="center"/>
    </w:pPr>
    <w:rPr>
      <w:sz w:val="30"/>
      <w:szCs w:val="30"/>
    </w:rPr>
  </w:style>
  <w:style w:type="character" w:customStyle="1" w:styleId="ProcTitreCar">
    <w:name w:val="ProcTitre Car"/>
    <w:basedOn w:val="LtrconcerneCar"/>
    <w:link w:val="ProcTitre"/>
    <w:rsid w:val="00BE0F4B"/>
    <w:rPr>
      <w:rFonts w:ascii="Montserrat Light" w:hAnsi="Montserrat Light" w:cs="Montserrat"/>
      <w:b/>
      <w:color w:val="4E4F50"/>
      <w:sz w:val="30"/>
      <w:szCs w:val="30"/>
    </w:rPr>
  </w:style>
  <w:style w:type="paragraph" w:styleId="Titre">
    <w:name w:val="Title"/>
    <w:basedOn w:val="Normal"/>
    <w:next w:val="Normal"/>
    <w:link w:val="TitreCar"/>
    <w:uiPriority w:val="10"/>
    <w:qFormat/>
    <w:rsid w:val="00C6523A"/>
    <w:pPr>
      <w:spacing w:after="0" w:line="240" w:lineRule="auto"/>
      <w:contextualSpacing/>
    </w:pPr>
    <w:rPr>
      <w:rFonts w:asciiTheme="majorHAnsi" w:eastAsiaTheme="majorEastAsia" w:hAnsiTheme="majorHAnsi" w:cstheme="majorBidi"/>
      <w:color w:val="538135" w:themeColor="accent6" w:themeShade="BF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6523A"/>
    <w:rPr>
      <w:rFonts w:asciiTheme="majorHAnsi" w:eastAsiaTheme="majorEastAsia" w:hAnsiTheme="majorHAnsi" w:cstheme="majorBidi"/>
      <w:color w:val="538135" w:themeColor="accent6" w:themeShade="BF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C65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6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523A"/>
  </w:style>
  <w:style w:type="paragraph" w:styleId="Pieddepage">
    <w:name w:val="footer"/>
    <w:basedOn w:val="Normal"/>
    <w:link w:val="PieddepageCar"/>
    <w:uiPriority w:val="99"/>
    <w:unhideWhenUsed/>
    <w:rsid w:val="00C6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5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527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Demierre</dc:creator>
  <cp:keywords/>
  <dc:description/>
  <cp:lastModifiedBy>Bertrand Demierre</cp:lastModifiedBy>
  <cp:revision>3</cp:revision>
  <dcterms:created xsi:type="dcterms:W3CDTF">2017-10-09T07:36:00Z</dcterms:created>
  <dcterms:modified xsi:type="dcterms:W3CDTF">2017-10-09T07:42:00Z</dcterms:modified>
</cp:coreProperties>
</file>